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0000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0000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0000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0000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0000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0000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0000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0000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0000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0000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0000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0000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0000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0000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0000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0000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w:t>
      </w:r>
      <w:r w:rsidRPr="00F51251">
        <w:rPr>
          <w:rFonts w:cs="Calibri"/>
        </w:rPr>
        <w:t>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1597A8D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2023, por la cantidad de $</w:t>
      </w:r>
      <w:r w:rsidRPr="009E2019">
        <w:t xml:space="preserve"> </w:t>
      </w:r>
      <w:r w:rsidRPr="009E2019">
        <w:rPr>
          <w:rFonts w:cs="Calibri"/>
        </w:rPr>
        <w:t>17,511,668.69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w:t>
      </w:r>
      <w:r>
        <w:rPr>
          <w:rFonts w:cs="Calibri"/>
        </w:rPr>
        <w:t>3</w:t>
      </w:r>
      <w:r>
        <w:rPr>
          <w:rFonts w:cs="Calibri"/>
        </w:rPr>
        <w:t xml:space="preserve"> se tiene una apertura de 1</w:t>
      </w:r>
      <w:r>
        <w:rPr>
          <w:rFonts w:cs="Calibri"/>
        </w:rPr>
        <w:t xml:space="preserve">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53E49EF1"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9E2019" w:rsidRPr="00F33708">
        <w:rPr>
          <w:rFonts w:cs="Calibri"/>
        </w:rPr>
        <w:t xml:space="preserve">3, reportándose el </w:t>
      </w:r>
      <w:r w:rsidRPr="00F33708">
        <w:rPr>
          <w:rFonts w:cs="Calibri"/>
        </w:rPr>
        <w:t>periodo del 01 de enero al 31 de marzo de 2023.</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77777777" w:rsidR="00F33708" w:rsidRDefault="00F33708" w:rsidP="00F33708">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 xml:space="preserve">El marco jurídico local que rige al </w:t>
      </w:r>
      <w:r w:rsidRPr="00FB0767">
        <w:rPr>
          <w:rFonts w:cs="Calibri"/>
        </w:rPr>
        <w:t>municipio</w:t>
      </w:r>
      <w:r w:rsidRPr="00FB0767">
        <w:rPr>
          <w:rFonts w:cs="Calibri"/>
        </w:rPr>
        <w:t xml:space="preserve">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r w:rsidRPr="00F33708">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0A453D5D"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99181A">
        <w:rPr>
          <w:rFonts w:cs="Calibri"/>
        </w:rPr>
        <w:t>3</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59F8619B"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Pr>
          <w:rFonts w:cs="Calibri"/>
        </w:rPr>
        <w:t>3</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550F3AA9"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07FD064A"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Pr="0099181A">
        <w:rPr>
          <w:rFonts w:cs="Calibri"/>
        </w:rPr>
        <w:t>3</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3094872B"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362A0B0C"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primer trimestre de 2023, únicamente se plantea la nueva estructura para la migración de SAP R/3 a SAP S/4 Hana.</w:t>
      </w:r>
    </w:p>
    <w:p w14:paraId="5FFBE06B" w14:textId="77777777" w:rsidR="0099181A" w:rsidRDefault="0099181A" w:rsidP="0099181A">
      <w:pPr>
        <w:tabs>
          <w:tab w:val="left" w:leader="underscore" w:pos="9639"/>
        </w:tabs>
        <w:spacing w:after="0" w:line="240" w:lineRule="auto"/>
        <w:ind w:left="360"/>
        <w:jc w:val="both"/>
        <w:rPr>
          <w:rFonts w:cs="Calibri"/>
        </w:rPr>
      </w:pPr>
    </w:p>
    <w:p w14:paraId="5683A6EC" w14:textId="77777777" w:rsidR="0099181A" w:rsidRDefault="0099181A" w:rsidP="0099181A">
      <w:pPr>
        <w:tabs>
          <w:tab w:val="left" w:leader="underscore" w:pos="9639"/>
        </w:tabs>
        <w:spacing w:after="0" w:line="240" w:lineRule="auto"/>
        <w:ind w:left="360"/>
        <w:jc w:val="both"/>
        <w:rPr>
          <w:rFonts w:cs="Calibri"/>
        </w:rPr>
      </w:pPr>
    </w:p>
    <w:p w14:paraId="1CC7A98F" w14:textId="77777777" w:rsidR="0099181A" w:rsidRP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2AFC3E2"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Pr>
          <w:rFonts w:cs="Calibri"/>
        </w:rPr>
        <w:t>3</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67086EF"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Pr>
          <w:rFonts w:cs="Calibri"/>
        </w:rPr>
        <w:t>3</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0CA1B154"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t>3</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36120305"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t>3</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w:t>
      </w:r>
      <w:r w:rsidR="00A30B9C">
        <w:rPr>
          <w:rFonts w:cs="Calibri"/>
        </w:rPr>
        <w:t>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w:t>
      </w:r>
      <w:r w:rsidR="00A30B9C">
        <w:rPr>
          <w:rFonts w:cs="Calibri"/>
        </w:rPr>
        <w:t>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w:t>
      </w:r>
      <w:r w:rsidR="00A30B9C">
        <w:rPr>
          <w:rFonts w:cs="Calibri"/>
        </w:rPr>
        <w:t>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w:t>
      </w:r>
      <w:r w:rsidR="00A30B9C">
        <w:rPr>
          <w:rFonts w:cs="Calibri"/>
        </w:rPr>
        <w:t>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w:t>
      </w:r>
      <w:r w:rsidR="00A30B9C">
        <w:rPr>
          <w:rFonts w:cs="Calibri"/>
        </w:rPr>
        <w:t>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w:t>
      </w:r>
      <w:r w:rsidR="00A30B9C">
        <w:rPr>
          <w:rFonts w:cs="Calibri"/>
        </w:rPr>
        <w:t>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w:t>
      </w:r>
      <w:r w:rsidR="00A30B9C">
        <w:rPr>
          <w:rFonts w:cs="Calibri"/>
        </w:rPr>
        <w:t>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5196EE" w14:textId="5DD28AF5" w:rsidR="004E2B2B" w:rsidRPr="00E74967" w:rsidRDefault="004E2B2B" w:rsidP="00CB41C4">
      <w:pPr>
        <w:tabs>
          <w:tab w:val="left" w:leader="underscore" w:pos="9639"/>
        </w:tabs>
        <w:spacing w:after="0" w:line="240" w:lineRule="auto"/>
        <w:jc w:val="both"/>
        <w:rPr>
          <w:rFonts w:cs="Calibri"/>
        </w:rPr>
      </w:pPr>
      <w:r w:rsidRPr="004E2B2B">
        <w:drawing>
          <wp:inline distT="0" distB="0" distL="0" distR="0" wp14:anchorId="4B165260" wp14:editId="69FB1CC1">
            <wp:extent cx="6151880" cy="1945640"/>
            <wp:effectExtent l="0" t="0" r="0" b="0"/>
            <wp:docPr id="12906305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945640"/>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48BB575E" w:rsidR="00A30B9C" w:rsidRDefault="00A30B9C" w:rsidP="00A30B9C">
      <w:pPr>
        <w:pStyle w:val="Prrafodelista"/>
        <w:numPr>
          <w:ilvl w:val="0"/>
          <w:numId w:val="18"/>
        </w:numPr>
        <w:tabs>
          <w:tab w:val="left" w:leader="underscore" w:pos="9639"/>
        </w:tabs>
        <w:spacing w:after="0" w:line="240" w:lineRule="auto"/>
        <w:jc w:val="both"/>
      </w:pPr>
      <w:r>
        <w:t xml:space="preserve">El Sistema Municipal DIF no presenta proyecciones de la recaudación de los ingresos al 31 de </w:t>
      </w:r>
      <w:r>
        <w:t>marzo de</w:t>
      </w:r>
      <w:r>
        <w:t xml:space="preserve"> 202</w:t>
      </w:r>
      <w:r>
        <w:t>3</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7D322B1"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Pr>
          <w:rFonts w:cs="Calibri"/>
        </w:rPr>
        <w:t>3</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w:t>
      </w:r>
      <w:r>
        <w:rPr>
          <w:rFonts w:cs="Calibri"/>
        </w:rPr>
        <w:t xml:space="preserv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C.P. Carolina del Socorro Andrade Álvarez</w:t>
            </w:r>
          </w:p>
          <w:p w14:paraId="60AC02CF" w14:textId="77777777" w:rsidR="004E2B2B" w:rsidRDefault="004E2B2B" w:rsidP="001C41FF">
            <w:pPr>
              <w:tabs>
                <w:tab w:val="left" w:leader="underscore" w:pos="9639"/>
              </w:tabs>
              <w:spacing w:after="0" w:line="240" w:lineRule="auto"/>
              <w:jc w:val="center"/>
              <w:rPr>
                <w:rFonts w:cs="Calibri"/>
              </w:rPr>
            </w:pPr>
            <w:r>
              <w:rPr>
                <w:rFonts w:cs="Calibri"/>
              </w:rPr>
              <w:t>Administradora General del SMDIF</w:t>
            </w:r>
          </w:p>
        </w:tc>
      </w:tr>
    </w:tbl>
    <w:p w14:paraId="74D16815" w14:textId="77777777"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819C" w14:textId="77777777" w:rsidR="003F4551" w:rsidRDefault="003F4551" w:rsidP="00E00323">
      <w:pPr>
        <w:spacing w:after="0" w:line="240" w:lineRule="auto"/>
      </w:pPr>
      <w:r>
        <w:separator/>
      </w:r>
    </w:p>
  </w:endnote>
  <w:endnote w:type="continuationSeparator" w:id="0">
    <w:p w14:paraId="1D2B70DE" w14:textId="77777777" w:rsidR="003F4551" w:rsidRDefault="003F455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6354" w14:textId="77777777" w:rsidR="003F4551" w:rsidRDefault="003F4551" w:rsidP="00E00323">
      <w:pPr>
        <w:spacing w:after="0" w:line="240" w:lineRule="auto"/>
      </w:pPr>
      <w:r>
        <w:separator/>
      </w:r>
    </w:p>
  </w:footnote>
  <w:footnote w:type="continuationSeparator" w:id="0">
    <w:p w14:paraId="54290E96" w14:textId="77777777" w:rsidR="003F4551" w:rsidRDefault="003F455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07E11634"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31 DE MARZO DE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8705169">
    <w:abstractNumId w:val="13"/>
  </w:num>
  <w:num w:numId="2" w16cid:durableId="1289823882">
    <w:abstractNumId w:val="12"/>
  </w:num>
  <w:num w:numId="3" w16cid:durableId="322128496">
    <w:abstractNumId w:val="2"/>
  </w:num>
  <w:num w:numId="4" w16cid:durableId="1152714002">
    <w:abstractNumId w:val="9"/>
  </w:num>
  <w:num w:numId="5" w16cid:durableId="201211864">
    <w:abstractNumId w:val="18"/>
  </w:num>
  <w:num w:numId="6" w16cid:durableId="1412463385">
    <w:abstractNumId w:val="14"/>
  </w:num>
  <w:num w:numId="7" w16cid:durableId="1478106385">
    <w:abstractNumId w:val="16"/>
  </w:num>
  <w:num w:numId="8" w16cid:durableId="1130904085">
    <w:abstractNumId w:val="4"/>
  </w:num>
  <w:num w:numId="9" w16cid:durableId="939413998">
    <w:abstractNumId w:val="6"/>
  </w:num>
  <w:num w:numId="10" w16cid:durableId="1848058872">
    <w:abstractNumId w:val="0"/>
  </w:num>
  <w:num w:numId="11" w16cid:durableId="2104255205">
    <w:abstractNumId w:val="17"/>
  </w:num>
  <w:num w:numId="12" w16cid:durableId="239678069">
    <w:abstractNumId w:val="7"/>
  </w:num>
  <w:num w:numId="13" w16cid:durableId="1734354841">
    <w:abstractNumId w:val="8"/>
  </w:num>
  <w:num w:numId="14" w16cid:durableId="1194881805">
    <w:abstractNumId w:val="11"/>
  </w:num>
  <w:num w:numId="15" w16cid:durableId="1268318394">
    <w:abstractNumId w:val="19"/>
  </w:num>
  <w:num w:numId="16" w16cid:durableId="143200086">
    <w:abstractNumId w:val="3"/>
  </w:num>
  <w:num w:numId="17" w16cid:durableId="1612862210">
    <w:abstractNumId w:val="1"/>
  </w:num>
  <w:num w:numId="18" w16cid:durableId="1624190812">
    <w:abstractNumId w:val="5"/>
  </w:num>
  <w:num w:numId="19" w16cid:durableId="762335648">
    <w:abstractNumId w:val="15"/>
  </w:num>
  <w:num w:numId="20" w16cid:durableId="1578131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32175"/>
    <w:rsid w:val="003453CA"/>
    <w:rsid w:val="003F4551"/>
    <w:rsid w:val="00435A87"/>
    <w:rsid w:val="004A58C8"/>
    <w:rsid w:val="004E2B2B"/>
    <w:rsid w:val="004F234D"/>
    <w:rsid w:val="0054701E"/>
    <w:rsid w:val="005B5531"/>
    <w:rsid w:val="005D3E43"/>
    <w:rsid w:val="005E231E"/>
    <w:rsid w:val="00657009"/>
    <w:rsid w:val="00681C79"/>
    <w:rsid w:val="007610BC"/>
    <w:rsid w:val="007714AB"/>
    <w:rsid w:val="007D1E76"/>
    <w:rsid w:val="007D4484"/>
    <w:rsid w:val="0086459F"/>
    <w:rsid w:val="008B40EC"/>
    <w:rsid w:val="008C3BB8"/>
    <w:rsid w:val="008E076C"/>
    <w:rsid w:val="0092765C"/>
    <w:rsid w:val="0099181A"/>
    <w:rsid w:val="009E2019"/>
    <w:rsid w:val="00A30B9C"/>
    <w:rsid w:val="00A4610E"/>
    <w:rsid w:val="00A730E0"/>
    <w:rsid w:val="00AA41E5"/>
    <w:rsid w:val="00AB722B"/>
    <w:rsid w:val="00AE1F6A"/>
    <w:rsid w:val="00C97E1E"/>
    <w:rsid w:val="00CB41C4"/>
    <w:rsid w:val="00CF1316"/>
    <w:rsid w:val="00D13C44"/>
    <w:rsid w:val="00D40FC2"/>
    <w:rsid w:val="00D5018E"/>
    <w:rsid w:val="00D975B1"/>
    <w:rsid w:val="00E00323"/>
    <w:rsid w:val="00E74967"/>
    <w:rsid w:val="00E7559F"/>
    <w:rsid w:val="00EA37F5"/>
    <w:rsid w:val="00EA7915"/>
    <w:rsid w:val="00F33708"/>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15797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18632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PEDRO LUIS MONZON GARCIA</cp:lastModifiedBy>
  <cp:revision>2</cp:revision>
  <dcterms:created xsi:type="dcterms:W3CDTF">2023-05-03T06:53:00Z</dcterms:created>
  <dcterms:modified xsi:type="dcterms:W3CDTF">2023-05-03T06:53:00Z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